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4AE78" w14:textId="77777777" w:rsidR="00DF4683" w:rsidRPr="00363621" w:rsidRDefault="00DF4683" w:rsidP="001C6348">
      <w:pPr>
        <w:suppressAutoHyphens/>
        <w:autoSpaceDN w:val="0"/>
        <w:jc w:val="center"/>
        <w:textAlignment w:val="baseline"/>
        <w:rPr>
          <w:rFonts w:ascii="Tahoma" w:hAnsi="Tahoma" w:cs="Tahoma"/>
          <w:kern w:val="3"/>
          <w:sz w:val="22"/>
          <w:szCs w:val="22"/>
          <w:lang w:eastAsia="zh-CN" w:bidi="hi-IN"/>
        </w:rPr>
      </w:pPr>
      <w:r w:rsidRPr="00363621">
        <w:rPr>
          <w:rFonts w:ascii="Tahoma" w:hAnsi="Tahoma" w:cs="Tahoma"/>
          <w:b/>
          <w:bCs/>
          <w:kern w:val="3"/>
          <w:sz w:val="22"/>
          <w:szCs w:val="22"/>
          <w:lang w:eastAsia="zh-CN" w:bidi="hi-IN"/>
        </w:rPr>
        <w:t>Protokół z posiedzenia Komisji Rewizyjnej</w:t>
      </w:r>
    </w:p>
    <w:p w14:paraId="6695E525" w14:textId="77777777" w:rsidR="00DF4683" w:rsidRPr="00363621" w:rsidRDefault="00DF4683" w:rsidP="001C6348">
      <w:pPr>
        <w:suppressAutoHyphens/>
        <w:autoSpaceDN w:val="0"/>
        <w:jc w:val="center"/>
        <w:textAlignment w:val="baseline"/>
        <w:rPr>
          <w:rFonts w:ascii="Tahoma" w:hAnsi="Tahoma" w:cs="Tahoma"/>
          <w:kern w:val="3"/>
          <w:sz w:val="22"/>
          <w:szCs w:val="22"/>
          <w:lang w:eastAsia="zh-CN" w:bidi="hi-IN"/>
        </w:rPr>
      </w:pPr>
      <w:r w:rsidRPr="00363621">
        <w:rPr>
          <w:rFonts w:ascii="Tahoma" w:hAnsi="Tahoma" w:cs="Tahoma"/>
          <w:b/>
          <w:bCs/>
          <w:kern w:val="3"/>
          <w:sz w:val="22"/>
          <w:szCs w:val="22"/>
          <w:lang w:eastAsia="zh-CN" w:bidi="hi-IN"/>
        </w:rPr>
        <w:t>Rady Gminy Suchy Las</w:t>
      </w:r>
    </w:p>
    <w:p w14:paraId="1F84A096" w14:textId="77777777" w:rsidR="00DF4683" w:rsidRPr="00363621" w:rsidRDefault="00DF4683" w:rsidP="001C6348">
      <w:pPr>
        <w:suppressAutoHyphens/>
        <w:autoSpaceDN w:val="0"/>
        <w:jc w:val="center"/>
        <w:textAlignment w:val="baseline"/>
        <w:rPr>
          <w:rFonts w:ascii="Tahoma" w:hAnsi="Tahoma" w:cs="Tahoma"/>
          <w:kern w:val="3"/>
          <w:sz w:val="22"/>
          <w:szCs w:val="22"/>
          <w:lang w:eastAsia="zh-CN" w:bidi="hi-IN"/>
        </w:rPr>
      </w:pPr>
      <w:r w:rsidRPr="00363621">
        <w:rPr>
          <w:rFonts w:ascii="Tahoma" w:hAnsi="Tahoma" w:cs="Tahoma"/>
          <w:b/>
          <w:bCs/>
          <w:kern w:val="3"/>
          <w:sz w:val="22"/>
          <w:szCs w:val="22"/>
          <w:lang w:eastAsia="zh-CN" w:bidi="hi-IN"/>
        </w:rPr>
        <w:t>z dnia 29.05.2020 roku.</w:t>
      </w:r>
    </w:p>
    <w:p w14:paraId="3E115815" w14:textId="77777777" w:rsidR="00DF4683" w:rsidRPr="00363621" w:rsidRDefault="00DF4683" w:rsidP="00DF4683">
      <w:p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Porządek posiedzenia:</w:t>
      </w:r>
    </w:p>
    <w:p w14:paraId="3A6D034F"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Otwarcie posiedzenia. </w:t>
      </w:r>
    </w:p>
    <w:p w14:paraId="0324B3D6"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Powitanie przybyłych na posiedzenie Komisji.</w:t>
      </w:r>
    </w:p>
    <w:p w14:paraId="3213CCD2"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Stwierdzenie ważności posiedzenia Komisji.</w:t>
      </w:r>
    </w:p>
    <w:p w14:paraId="3CA550FC"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Zatwierdzenie porządku obrad.</w:t>
      </w:r>
    </w:p>
    <w:p w14:paraId="2D20A2F9" w14:textId="77777777" w:rsidR="00DF4683" w:rsidRPr="00363621" w:rsidRDefault="00DF4683" w:rsidP="00DF4683">
      <w:pPr>
        <w:numPr>
          <w:ilvl w:val="0"/>
          <w:numId w:val="1"/>
        </w:numPr>
        <w:tabs>
          <w:tab w:val="left" w:pos="851"/>
        </w:tabs>
        <w:spacing w:line="360" w:lineRule="auto"/>
        <w:jc w:val="both"/>
        <w:rPr>
          <w:rFonts w:ascii="Tahoma" w:hAnsi="Tahoma" w:cs="Tahoma"/>
          <w:sz w:val="22"/>
          <w:szCs w:val="22"/>
        </w:rPr>
      </w:pPr>
      <w:r w:rsidRPr="00363621">
        <w:rPr>
          <w:rFonts w:ascii="Tahoma" w:hAnsi="Tahoma" w:cs="Tahoma"/>
          <w:sz w:val="22"/>
          <w:szCs w:val="22"/>
        </w:rPr>
        <w:t>Omówienie sprawozdania z wykonania budżetu Gminy Suchy Las za 2019 rok – spotkanie z pracownikami Wydziału Gospodarki Nieruchomościami.</w:t>
      </w:r>
    </w:p>
    <w:p w14:paraId="5818F29D"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Sprawy bieżące.</w:t>
      </w:r>
    </w:p>
    <w:p w14:paraId="502047CD"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Wolne głosy i wnioski.</w:t>
      </w:r>
    </w:p>
    <w:p w14:paraId="016F6A5A" w14:textId="77777777" w:rsidR="00DF4683" w:rsidRPr="00363621" w:rsidRDefault="00DF4683" w:rsidP="00DF4683">
      <w:pPr>
        <w:numPr>
          <w:ilvl w:val="0"/>
          <w:numId w:val="1"/>
        </w:numPr>
        <w:suppressAutoHyphens/>
        <w:autoSpaceDN w:val="0"/>
        <w:spacing w:before="100" w:beforeAutospacing="1"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 Zakończenie posiedzenia.</w:t>
      </w:r>
    </w:p>
    <w:p w14:paraId="2A4FC13C" w14:textId="77777777" w:rsidR="00DF4683" w:rsidRPr="00363621" w:rsidRDefault="00DF4683" w:rsidP="00DF4683">
      <w:pPr>
        <w:suppressAutoHyphens/>
        <w:autoSpaceDN w:val="0"/>
        <w:spacing w:before="100" w:beforeAutospacing="1" w:line="360" w:lineRule="auto"/>
        <w:ind w:left="720"/>
        <w:jc w:val="both"/>
        <w:textAlignment w:val="baseline"/>
        <w:rPr>
          <w:rFonts w:ascii="Tahoma" w:hAnsi="Tahoma" w:cs="Tahoma"/>
          <w:kern w:val="3"/>
          <w:sz w:val="22"/>
          <w:szCs w:val="22"/>
          <w:lang w:eastAsia="zh-CN" w:bidi="hi-IN"/>
        </w:rPr>
      </w:pPr>
    </w:p>
    <w:p w14:paraId="50B4D9AA" w14:textId="77777777" w:rsidR="00DF4683" w:rsidRPr="00363621" w:rsidRDefault="00DF4683" w:rsidP="00DF4683">
      <w:pPr>
        <w:suppressAutoHyphens/>
        <w:autoSpaceDN w:val="0"/>
        <w:spacing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Ad. 1 – 4.</w:t>
      </w:r>
    </w:p>
    <w:p w14:paraId="450F1CF2" w14:textId="77777777" w:rsidR="00DF4683" w:rsidRPr="00363621" w:rsidRDefault="00DF4683" w:rsidP="00DF4683">
      <w:pPr>
        <w:suppressAutoHyphens/>
        <w:autoSpaceDN w:val="0"/>
        <w:spacing w:line="360"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Przewodniczący Maciej Jankowiak otworzył posiedzenie Komisji. Powitał członków Komisji i zaproszonych gości oraz stwierdził prawomocność posiedzenia na podstawie listy obecności. Porządek obrad został przyjęty jednogłośnie</w:t>
      </w:r>
    </w:p>
    <w:p w14:paraId="6FD64B53"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0B14A013"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Ad. 5.</w:t>
      </w:r>
    </w:p>
    <w:p w14:paraId="314DA230"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Radna J Pągowska poprosiła pracownika Wydziały Nieruchomościami Urzędu Gminy – T. Lisowskiego o przedstawienie realizacji dochodów wynikających z przedstawionej klasyfikacji budżetowej 756.75618.0490. Tu dokonano podziału na poszczególne opłaty: planistyczna, za zajęcie pasa drogi, za korzystanie z przystanków, adiacencka. Radną zastanawia spory spadek wpływów z opłaty adiacenckiej w porównaniu do wzrostu opłat za pas drogowy. </w:t>
      </w:r>
    </w:p>
    <w:p w14:paraId="0A53E881"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500B40E7"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T. Lisowski wyjaśnił, że ukazane graficznie różnice w latach, to efekt wielu czynników. Uzależnione jest to od wykonywanych inwestycji. Nie są one wykonywane równomiernie, a możliwości przerobowe wydziału też są ograniczone. </w:t>
      </w:r>
    </w:p>
    <w:p w14:paraId="5AC5C5EB"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7046A6B4"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Radny T. Sztolcman zauważył, że w tym momencie odbywają się duże, kosztowne inwestycje na terenie gminy, które jeszcze się nie zakończyły i nie można jeszcze naliczyć opłat. Zapytał również, czy są inwestycje, które czekają w kolejce na nałożenie opłaty.</w:t>
      </w:r>
    </w:p>
    <w:p w14:paraId="61763B87"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0FD698DD"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T. Lisowski odpowiedział, że w tej chwili opłaty naliczane są na bieżąco. Z inwestycji prowadzonych w Golęczewie, Zielątkowie i Chludowie będzie ok. 3 tyś. spraw. Jedno gospodarstwo domowe może wygenerować nawet trzy sprawy. Do końca roku spodziewamy się 2 tyś. spraw i w 2021 roku kolejne 750 spraw.</w:t>
      </w:r>
    </w:p>
    <w:p w14:paraId="36B32290"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1141C4B5" w14:textId="450F36A5" w:rsidR="00DF4683" w:rsidRPr="00363621" w:rsidRDefault="00B94AC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lastRenderedPageBreak/>
        <w:t xml:space="preserve">Radny M. Przybylski poinformował, że </w:t>
      </w:r>
      <w:r w:rsidR="00DF4683" w:rsidRPr="00363621">
        <w:rPr>
          <w:rFonts w:ascii="Tahoma" w:hAnsi="Tahoma" w:cs="Tahoma"/>
          <w:kern w:val="3"/>
          <w:sz w:val="22"/>
          <w:szCs w:val="22"/>
          <w:lang w:eastAsia="zh-CN" w:bidi="hi-IN"/>
        </w:rPr>
        <w:t xml:space="preserve">miejscowość Złotniki jest </w:t>
      </w:r>
      <w:r w:rsidRPr="00363621">
        <w:rPr>
          <w:rFonts w:ascii="Tahoma" w:hAnsi="Tahoma" w:cs="Tahoma"/>
          <w:kern w:val="3"/>
          <w:sz w:val="22"/>
          <w:szCs w:val="22"/>
          <w:lang w:eastAsia="zh-CN" w:bidi="hi-IN"/>
        </w:rPr>
        <w:t xml:space="preserve">już </w:t>
      </w:r>
      <w:r w:rsidR="00DF4683" w:rsidRPr="00363621">
        <w:rPr>
          <w:rFonts w:ascii="Tahoma" w:hAnsi="Tahoma" w:cs="Tahoma"/>
          <w:kern w:val="3"/>
          <w:sz w:val="22"/>
          <w:szCs w:val="22"/>
          <w:lang w:eastAsia="zh-CN" w:bidi="hi-IN"/>
        </w:rPr>
        <w:t>ujęta w procedurze</w:t>
      </w:r>
      <w:r w:rsidR="00E77D0A" w:rsidRPr="00363621">
        <w:rPr>
          <w:rFonts w:ascii="Tahoma" w:hAnsi="Tahoma" w:cs="Tahoma"/>
          <w:kern w:val="3"/>
          <w:sz w:val="22"/>
          <w:szCs w:val="22"/>
          <w:lang w:eastAsia="zh-CN" w:bidi="hi-IN"/>
        </w:rPr>
        <w:t xml:space="preserve"> i sprawy się toczą</w:t>
      </w:r>
      <w:r w:rsidR="00DF4683" w:rsidRPr="00363621">
        <w:rPr>
          <w:rFonts w:ascii="Tahoma" w:hAnsi="Tahoma" w:cs="Tahoma"/>
          <w:kern w:val="3"/>
          <w:sz w:val="22"/>
          <w:szCs w:val="22"/>
          <w:lang w:eastAsia="zh-CN" w:bidi="hi-IN"/>
        </w:rPr>
        <w:t>.</w:t>
      </w:r>
    </w:p>
    <w:p w14:paraId="232417CA"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AB17786"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T. Lisowski poinformował radnych, że przepisy przewidują trzy lata na wszczęcie sprawy od momentu oddania inwestycji do użytkowania.</w:t>
      </w:r>
    </w:p>
    <w:p w14:paraId="45433309"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E09B490"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Radna J. Pągowska zapytała na jaką kwotę opiewa typowa sprawa dotycząca opłaty adiacenckiej. W odpowiedzi otrzymała informację, że jest to ok. 2 tyś zł, co daje sumę 6 mln. zł. </w:t>
      </w:r>
    </w:p>
    <w:p w14:paraId="1560DF6B"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4067BCF3"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Radny T. Sztolcman zapytał, czy są jakieś tematy, dla których kończy się trzyletni okres wszczęcia. W odpowiedzi uzyskał informację, że nie ma takiego zagrożenia. </w:t>
      </w:r>
    </w:p>
    <w:p w14:paraId="66C88F24"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7284241"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Radna J. Pągowska zapytała, czy wydział jest w stanie sprostać takiej ilości spraw.</w:t>
      </w:r>
    </w:p>
    <w:p w14:paraId="1E8279DA"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0E89698E"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T. Lisowski odpowiedział, że wydział nie tylko pracuje nad opłatami adiacenckimi. Są w tej chwili zaledwie dwie osoby od tych tematów i trwa nabór na kolejne stanowisko. Potrzeba byłaby kolejnych czterech pracowników wyprzedzając to, co będzie się działo. Procesy inwestycyjne są konieczne, a pytanie istotne, to jakie są możliwości finansowe gminy skoro mieszkańców przybywa. </w:t>
      </w:r>
    </w:p>
    <w:p w14:paraId="48A31965"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41202FF"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K. Zawistowska poinformowała radnych, że poza sprawami z Zielątkowa jest jeszcze 400 spraw z całego terenu gminy. </w:t>
      </w:r>
    </w:p>
    <w:p w14:paraId="3209B92B"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A1179DE"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Radny T. Sztolcman zauważył, że może się zdarzyć, że koszt procedury przewyższy korzyść z tego płynącą. Czy jest przeprowadzana selekcja spraw?</w:t>
      </w:r>
    </w:p>
    <w:p w14:paraId="4B7D0BEB"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173F2126"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T. Lisowski poinformował radnych, że taka analiza jest przeprowadzana każdorazowo. Rocznie wpływa ponad 600 aktów notarialnych, które są analizowane indywidualnie.</w:t>
      </w:r>
    </w:p>
    <w:p w14:paraId="6BE75C0F"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25C3A090"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Radna W. Prycińska zapytała o rentowność procedury. Otrzymała odpowiedź, że jedna sprawa składa się z operatu szacunkowego – koszt ok. 300 zł plus koszty korespondencji. Gmina może zrezygnować z nałożenia opłaty.</w:t>
      </w:r>
    </w:p>
    <w:p w14:paraId="5CF38A8E"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0617460D"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Skarbnik M. Wojtaszewska w tym miejscu zasygnalizowała, że w przypadku rezygnacji z nałożenia opłaty, może pojawić się zarzut o niedochodzenie należności w dziale dochodów. </w:t>
      </w:r>
    </w:p>
    <w:p w14:paraId="45E719BE"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4DD370A1"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Radni zapytali o duże różnice w dziale 700 – gospodarka mieszkaniowa i różnicę po zmianach wynoszącą prawie 8 mln zł. Goście wyjaśnili, że jest to wynik braku sprzedaży nieruchomości.  </w:t>
      </w:r>
    </w:p>
    <w:p w14:paraId="4394ABD3"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990A79A"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Radna J. Pągowska poprosiła o wyjaśnienie zaległości w analizie dochodów niepodatkowych – najem i czynsz - na kwotę 264 tyś. zł. Wyjaśnienie zostanie wysłane do radnej pocztą mail. </w:t>
      </w:r>
    </w:p>
    <w:p w14:paraId="7D7A92A3"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6258734B"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Skarbnik M. Wojtaszewska zauważyła, że wydział gospodarki nieruchomościami wnioskował o 4 etaty, ale należy zaznaczyć, że wspomnianymi opłatami zajmuje się również wydział </w:t>
      </w:r>
      <w:r w:rsidRPr="00363621">
        <w:rPr>
          <w:rFonts w:ascii="Tahoma" w:hAnsi="Tahoma" w:cs="Tahoma"/>
          <w:kern w:val="3"/>
          <w:sz w:val="22"/>
          <w:szCs w:val="22"/>
          <w:lang w:eastAsia="zh-CN" w:bidi="hi-IN"/>
        </w:rPr>
        <w:lastRenderedPageBreak/>
        <w:t xml:space="preserve">finansowy – są do tych tematów wyznaczone zaledwie dwie osoby. Fantastycznie słucha się o planach wydziału gospodarki gruntami, ale nie można zapominać o tym, kto będzie zajmował się sprawami przez kolejne 10 lat (w przypadku rozłożenia opłaty na raty). Osobiście p. Skarbnik słyszała o dwóch etatach do GN. To, co wyprodukuje urząd, to musi opracować referat podatków – jest to ok 1700 spraw. Mówiąc o rentowności należy zwrócić uwagę również na etaty i koszty opłat pocztowych. Ile będzie opłat adiacenckich, tego nie wiadomo. Przy rozłożeniu na 10 letnie raty, koszt operatu zwraca się dopiero po jednym roku. Spraw tych nie może prowadzić firma zewnętrzna, ze względu na wysoką odpowiedzialność merytoryczną. Można czasami się spiąć i dać radę, bo co w przypadku, gdy napływ spraw diametralnie się zmniejszy. Czy zwolnione zostaną osoby zatrudnione do ich prowadzenia? Należy tez pamiętać o naszych osobach prawnych i o nie zadbać, bo to są największe dochody. </w:t>
      </w:r>
    </w:p>
    <w:p w14:paraId="764BFCA7"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5C288EE6" w14:textId="32E3E4CD"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Radny M. Przybylski zapytał o średnią płacę netto w urzędzie na stanowisku podinspektora. Otrzymał odpowie</w:t>
      </w:r>
      <w:r w:rsidR="00134BBA" w:rsidRPr="00363621">
        <w:rPr>
          <w:rFonts w:ascii="Tahoma" w:hAnsi="Tahoma" w:cs="Tahoma"/>
          <w:kern w:val="3"/>
          <w:sz w:val="22"/>
          <w:szCs w:val="22"/>
          <w:lang w:eastAsia="zh-CN" w:bidi="hi-IN"/>
        </w:rPr>
        <w:t>dź, że jest to kwota 3,5 – 4 tys</w:t>
      </w:r>
      <w:r w:rsidR="00A734C5" w:rsidRPr="00363621">
        <w:rPr>
          <w:rFonts w:ascii="Tahoma" w:hAnsi="Tahoma" w:cs="Tahoma"/>
          <w:kern w:val="3"/>
          <w:sz w:val="22"/>
          <w:szCs w:val="22"/>
          <w:lang w:eastAsia="zh-CN" w:bidi="hi-IN"/>
        </w:rPr>
        <w:t>.</w:t>
      </w:r>
      <w:r w:rsidRPr="00363621">
        <w:rPr>
          <w:rFonts w:ascii="Tahoma" w:hAnsi="Tahoma" w:cs="Tahoma"/>
          <w:kern w:val="3"/>
          <w:sz w:val="22"/>
          <w:szCs w:val="22"/>
          <w:lang w:eastAsia="zh-CN" w:bidi="hi-IN"/>
        </w:rPr>
        <w:t xml:space="preserve"> zł netto </w:t>
      </w:r>
      <w:r w:rsidRPr="00363621">
        <w:rPr>
          <w:rFonts w:ascii="Tahoma" w:hAnsi="Tahoma" w:cs="Tahoma"/>
          <w:strike/>
          <w:kern w:val="3"/>
          <w:sz w:val="22"/>
          <w:szCs w:val="22"/>
          <w:lang w:eastAsia="zh-CN" w:bidi="hi-IN"/>
        </w:rPr>
        <w:t>(???)</w:t>
      </w:r>
      <w:r w:rsidRPr="00363621">
        <w:rPr>
          <w:rFonts w:ascii="Tahoma" w:hAnsi="Tahoma" w:cs="Tahoma"/>
          <w:kern w:val="3"/>
          <w:sz w:val="22"/>
          <w:szCs w:val="22"/>
          <w:lang w:eastAsia="zh-CN" w:bidi="hi-IN"/>
        </w:rPr>
        <w:t>.</w:t>
      </w:r>
    </w:p>
    <w:p w14:paraId="1AFEEDB1"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2CDDD410" w14:textId="34D789F9" w:rsidR="008D3D0F"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Radny M. Przybylski zauważył, że </w:t>
      </w:r>
      <w:r w:rsidR="00D3446A" w:rsidRPr="00363621">
        <w:rPr>
          <w:rFonts w:ascii="Tahoma" w:hAnsi="Tahoma" w:cs="Tahoma"/>
          <w:kern w:val="3"/>
          <w:sz w:val="22"/>
          <w:szCs w:val="22"/>
          <w:lang w:eastAsia="zh-CN" w:bidi="hi-IN"/>
        </w:rPr>
        <w:t>w przypadku wyliczania indywidulanego wskaźnika zadłużenia</w:t>
      </w:r>
      <w:r w:rsidR="008D3D0F" w:rsidRPr="00363621">
        <w:rPr>
          <w:rFonts w:ascii="Tahoma" w:hAnsi="Tahoma" w:cs="Tahoma"/>
          <w:kern w:val="3"/>
          <w:sz w:val="22"/>
          <w:szCs w:val="22"/>
          <w:lang w:eastAsia="zh-CN" w:bidi="hi-IN"/>
        </w:rPr>
        <w:t xml:space="preserve"> (</w:t>
      </w:r>
      <w:r w:rsidR="00D3446A" w:rsidRPr="00363621">
        <w:rPr>
          <w:rFonts w:ascii="Tahoma" w:hAnsi="Tahoma" w:cs="Tahoma"/>
          <w:kern w:val="3"/>
          <w:sz w:val="22"/>
          <w:szCs w:val="22"/>
          <w:lang w:eastAsia="zh-CN" w:bidi="hi-IN"/>
        </w:rPr>
        <w:t>art. 243 ufp</w:t>
      </w:r>
      <w:r w:rsidR="008D3D0F" w:rsidRPr="00363621">
        <w:rPr>
          <w:rFonts w:ascii="Tahoma" w:hAnsi="Tahoma" w:cs="Tahoma"/>
          <w:kern w:val="3"/>
          <w:sz w:val="22"/>
          <w:szCs w:val="22"/>
          <w:lang w:eastAsia="zh-CN" w:bidi="hi-IN"/>
        </w:rPr>
        <w:t xml:space="preserve">) w latach </w:t>
      </w:r>
      <w:r w:rsidR="00D3446A" w:rsidRPr="00363621">
        <w:rPr>
          <w:rFonts w:ascii="Tahoma" w:hAnsi="Tahoma" w:cs="Tahoma"/>
          <w:kern w:val="3"/>
          <w:sz w:val="22"/>
          <w:szCs w:val="22"/>
          <w:lang w:eastAsia="zh-CN" w:bidi="hi-IN"/>
        </w:rPr>
        <w:t>2021</w:t>
      </w:r>
      <w:r w:rsidR="008D3D0F" w:rsidRPr="00363621">
        <w:rPr>
          <w:rFonts w:ascii="Tahoma" w:hAnsi="Tahoma" w:cs="Tahoma"/>
          <w:kern w:val="3"/>
          <w:sz w:val="22"/>
          <w:szCs w:val="22"/>
          <w:lang w:eastAsia="zh-CN" w:bidi="hi-IN"/>
        </w:rPr>
        <w:t xml:space="preserve"> - </w:t>
      </w:r>
      <w:r w:rsidR="00D3446A" w:rsidRPr="00363621">
        <w:rPr>
          <w:rFonts w:ascii="Tahoma" w:hAnsi="Tahoma" w:cs="Tahoma"/>
          <w:kern w:val="3"/>
          <w:sz w:val="22"/>
          <w:szCs w:val="22"/>
          <w:lang w:eastAsia="zh-CN" w:bidi="hi-IN"/>
        </w:rPr>
        <w:t xml:space="preserve">2023 </w:t>
      </w:r>
      <w:r w:rsidRPr="00363621">
        <w:rPr>
          <w:rFonts w:ascii="Tahoma" w:hAnsi="Tahoma" w:cs="Tahoma"/>
          <w:kern w:val="3"/>
          <w:sz w:val="22"/>
          <w:szCs w:val="22"/>
          <w:lang w:eastAsia="zh-CN" w:bidi="hi-IN"/>
        </w:rPr>
        <w:t xml:space="preserve">będziemy </w:t>
      </w:r>
      <w:r w:rsidR="00D3446A" w:rsidRPr="00363621">
        <w:rPr>
          <w:rFonts w:ascii="Tahoma" w:hAnsi="Tahoma" w:cs="Tahoma"/>
          <w:kern w:val="3"/>
          <w:sz w:val="22"/>
          <w:szCs w:val="22"/>
          <w:lang w:eastAsia="zh-CN" w:bidi="hi-IN"/>
        </w:rPr>
        <w:t xml:space="preserve">odczuwali  „tąpnięcie” </w:t>
      </w:r>
      <w:r w:rsidRPr="00363621">
        <w:rPr>
          <w:rFonts w:ascii="Tahoma" w:hAnsi="Tahoma" w:cs="Tahoma"/>
          <w:kern w:val="3"/>
          <w:sz w:val="22"/>
          <w:szCs w:val="22"/>
          <w:lang w:eastAsia="zh-CN" w:bidi="hi-IN"/>
        </w:rPr>
        <w:t>roku 2020</w:t>
      </w:r>
      <w:r w:rsidR="00D3446A" w:rsidRPr="00363621">
        <w:rPr>
          <w:rFonts w:ascii="Tahoma" w:hAnsi="Tahoma" w:cs="Tahoma"/>
          <w:kern w:val="3"/>
          <w:sz w:val="22"/>
          <w:szCs w:val="22"/>
          <w:lang w:eastAsia="zh-CN" w:bidi="hi-IN"/>
        </w:rPr>
        <w:t xml:space="preserve">, ponieważ metodologia </w:t>
      </w:r>
      <w:r w:rsidR="008D3D0F" w:rsidRPr="00363621">
        <w:rPr>
          <w:rFonts w:ascii="Tahoma" w:hAnsi="Tahoma" w:cs="Tahoma"/>
          <w:kern w:val="3"/>
          <w:sz w:val="22"/>
          <w:szCs w:val="22"/>
          <w:lang w:eastAsia="zh-CN" w:bidi="hi-IN"/>
        </w:rPr>
        <w:t>obliczania</w:t>
      </w:r>
      <w:r w:rsidR="00D3446A" w:rsidRPr="00363621">
        <w:rPr>
          <w:rFonts w:ascii="Tahoma" w:hAnsi="Tahoma" w:cs="Tahoma"/>
          <w:kern w:val="3"/>
          <w:sz w:val="22"/>
          <w:szCs w:val="22"/>
          <w:lang w:eastAsia="zh-CN" w:bidi="hi-IN"/>
        </w:rPr>
        <w:t xml:space="preserve"> indywidulanego wskaźnika zadłużenia zakłada </w:t>
      </w:r>
      <w:r w:rsidR="008D3D0F" w:rsidRPr="00363621">
        <w:rPr>
          <w:rFonts w:ascii="Tahoma" w:hAnsi="Tahoma" w:cs="Tahoma"/>
          <w:kern w:val="3"/>
          <w:sz w:val="22"/>
          <w:szCs w:val="22"/>
          <w:lang w:eastAsia="zh-CN" w:bidi="hi-IN"/>
        </w:rPr>
        <w:t>dane z ostat</w:t>
      </w:r>
      <w:r w:rsidR="00D3446A" w:rsidRPr="00363621">
        <w:rPr>
          <w:rFonts w:ascii="Tahoma" w:hAnsi="Tahoma" w:cs="Tahoma"/>
          <w:kern w:val="3"/>
          <w:sz w:val="22"/>
          <w:szCs w:val="22"/>
          <w:lang w:eastAsia="zh-CN" w:bidi="hi-IN"/>
        </w:rPr>
        <w:t>ni</w:t>
      </w:r>
      <w:r w:rsidR="008D3D0F" w:rsidRPr="00363621">
        <w:rPr>
          <w:rFonts w:ascii="Tahoma" w:hAnsi="Tahoma" w:cs="Tahoma"/>
          <w:kern w:val="3"/>
          <w:sz w:val="22"/>
          <w:szCs w:val="22"/>
          <w:lang w:eastAsia="zh-CN" w:bidi="hi-IN"/>
        </w:rPr>
        <w:t xml:space="preserve">ch 3 latach poprzedzających rok, </w:t>
      </w:r>
      <w:r w:rsidR="00D3446A" w:rsidRPr="00363621">
        <w:rPr>
          <w:rFonts w:ascii="Tahoma" w:hAnsi="Tahoma" w:cs="Tahoma"/>
          <w:kern w:val="3"/>
          <w:sz w:val="22"/>
          <w:szCs w:val="22"/>
          <w:lang w:eastAsia="zh-CN" w:bidi="hi-IN"/>
        </w:rPr>
        <w:t xml:space="preserve">dla którego </w:t>
      </w:r>
      <w:r w:rsidR="008D3D0F" w:rsidRPr="00363621">
        <w:rPr>
          <w:rFonts w:ascii="Tahoma" w:hAnsi="Tahoma" w:cs="Tahoma"/>
          <w:kern w:val="3"/>
          <w:sz w:val="22"/>
          <w:szCs w:val="22"/>
          <w:lang w:eastAsia="zh-CN" w:bidi="hi-IN"/>
        </w:rPr>
        <w:t>oblicza się wskaźnik. A więc w:</w:t>
      </w:r>
    </w:p>
    <w:p w14:paraId="15431315" w14:textId="56019F66" w:rsidR="008D3D0F" w:rsidRPr="00363621" w:rsidRDefault="008D3D0F"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- 2021 będzie się brało pod uwagę lata: 2018, 2019, </w:t>
      </w:r>
      <w:r w:rsidRPr="00363621">
        <w:rPr>
          <w:rFonts w:ascii="Tahoma" w:hAnsi="Tahoma" w:cs="Tahoma"/>
          <w:b/>
          <w:kern w:val="3"/>
          <w:sz w:val="22"/>
          <w:szCs w:val="22"/>
          <w:lang w:eastAsia="zh-CN" w:bidi="hi-IN"/>
        </w:rPr>
        <w:t>2020</w:t>
      </w:r>
      <w:r w:rsidRPr="00363621">
        <w:rPr>
          <w:rFonts w:ascii="Tahoma" w:hAnsi="Tahoma" w:cs="Tahoma"/>
          <w:kern w:val="3"/>
          <w:sz w:val="22"/>
          <w:szCs w:val="22"/>
          <w:lang w:eastAsia="zh-CN" w:bidi="hi-IN"/>
        </w:rPr>
        <w:t>,</w:t>
      </w:r>
    </w:p>
    <w:p w14:paraId="68FA7C0A" w14:textId="174CF242" w:rsidR="008D3D0F" w:rsidRPr="00363621" w:rsidRDefault="008D3D0F"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- 2022 będzie się brało pod uwagę lata: 2019, </w:t>
      </w:r>
      <w:r w:rsidRPr="00363621">
        <w:rPr>
          <w:rFonts w:ascii="Tahoma" w:hAnsi="Tahoma" w:cs="Tahoma"/>
          <w:b/>
          <w:kern w:val="3"/>
          <w:sz w:val="22"/>
          <w:szCs w:val="22"/>
          <w:lang w:eastAsia="zh-CN" w:bidi="hi-IN"/>
        </w:rPr>
        <w:t>2020</w:t>
      </w:r>
      <w:r w:rsidRPr="00363621">
        <w:rPr>
          <w:rFonts w:ascii="Tahoma" w:hAnsi="Tahoma" w:cs="Tahoma"/>
          <w:kern w:val="3"/>
          <w:sz w:val="22"/>
          <w:szCs w:val="22"/>
          <w:lang w:eastAsia="zh-CN" w:bidi="hi-IN"/>
        </w:rPr>
        <w:t>, 2021,</w:t>
      </w:r>
    </w:p>
    <w:p w14:paraId="7398ADD7" w14:textId="7DF69E85" w:rsidR="00D3446A" w:rsidRPr="00363621" w:rsidRDefault="008D3D0F"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- 2023 będzie się brało pod uwagę lata </w:t>
      </w:r>
      <w:r w:rsidRPr="00363621">
        <w:rPr>
          <w:rFonts w:ascii="Tahoma" w:hAnsi="Tahoma" w:cs="Tahoma"/>
          <w:b/>
          <w:kern w:val="3"/>
          <w:sz w:val="22"/>
          <w:szCs w:val="22"/>
          <w:lang w:eastAsia="zh-CN" w:bidi="hi-IN"/>
        </w:rPr>
        <w:t>2020</w:t>
      </w:r>
      <w:r w:rsidRPr="00363621">
        <w:rPr>
          <w:rFonts w:ascii="Tahoma" w:hAnsi="Tahoma" w:cs="Tahoma"/>
          <w:kern w:val="3"/>
          <w:sz w:val="22"/>
          <w:szCs w:val="22"/>
          <w:lang w:eastAsia="zh-CN" w:bidi="hi-IN"/>
        </w:rPr>
        <w:t>, 2021, 2022,</w:t>
      </w:r>
    </w:p>
    <w:p w14:paraId="3D3B4336" w14:textId="77777777" w:rsidR="00D3446A" w:rsidRPr="00363621" w:rsidRDefault="00D3446A" w:rsidP="00DF4683">
      <w:pPr>
        <w:suppressAutoHyphens/>
        <w:autoSpaceDN w:val="0"/>
        <w:spacing w:line="276" w:lineRule="auto"/>
        <w:jc w:val="both"/>
        <w:textAlignment w:val="baseline"/>
        <w:rPr>
          <w:rFonts w:ascii="Tahoma" w:hAnsi="Tahoma" w:cs="Tahoma"/>
          <w:kern w:val="3"/>
          <w:sz w:val="22"/>
          <w:szCs w:val="22"/>
          <w:lang w:eastAsia="zh-CN" w:bidi="hi-IN"/>
        </w:rPr>
      </w:pPr>
    </w:p>
    <w:p w14:paraId="40F15480" w14:textId="42173A05" w:rsidR="00DF4683" w:rsidRPr="00363621" w:rsidRDefault="008D3D0F"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Radny M. Przybylski zapytał, czy zważywszy na wysoką już kwotę zadłużenia </w:t>
      </w:r>
      <w:r w:rsidR="00A734C5" w:rsidRPr="00363621">
        <w:rPr>
          <w:rFonts w:ascii="Tahoma" w:hAnsi="Tahoma" w:cs="Tahoma"/>
          <w:kern w:val="3"/>
          <w:sz w:val="22"/>
          <w:szCs w:val="22"/>
          <w:lang w:eastAsia="zh-CN" w:bidi="hi-IN"/>
        </w:rPr>
        <w:t xml:space="preserve">na koniec 2019 roku </w:t>
      </w:r>
      <w:r w:rsidRPr="00363621">
        <w:rPr>
          <w:rFonts w:ascii="Tahoma" w:hAnsi="Tahoma" w:cs="Tahoma"/>
          <w:kern w:val="3"/>
          <w:sz w:val="22"/>
          <w:szCs w:val="22"/>
          <w:lang w:eastAsia="zh-CN" w:bidi="hi-IN"/>
        </w:rPr>
        <w:t>- ponad 92 mln zł</w:t>
      </w:r>
      <w:r w:rsidR="00A734C5" w:rsidRPr="00363621">
        <w:rPr>
          <w:rFonts w:ascii="Tahoma" w:hAnsi="Tahoma" w:cs="Tahoma"/>
          <w:kern w:val="3"/>
          <w:sz w:val="22"/>
          <w:szCs w:val="22"/>
          <w:lang w:eastAsia="zh-CN" w:bidi="hi-IN"/>
        </w:rPr>
        <w:t>,</w:t>
      </w:r>
      <w:r w:rsidRPr="00363621">
        <w:rPr>
          <w:rFonts w:ascii="Tahoma" w:hAnsi="Tahoma" w:cs="Tahoma"/>
          <w:kern w:val="3"/>
          <w:sz w:val="22"/>
          <w:szCs w:val="22"/>
          <w:lang w:eastAsia="zh-CN" w:bidi="hi-IN"/>
        </w:rPr>
        <w:t xml:space="preserve"> p. Skarbnik nie obawia się przekroczenia indywidulanego wskaźnika zadłużenia?</w:t>
      </w:r>
    </w:p>
    <w:p w14:paraId="05438AFF"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0B37F99C"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Skarbnik M. Wojtaszewska w odpowiedzi poinformowała, że samorządy mają 40% mniejszy udział w PIT. Na ten moment brak porównania. Trzeba będzie się poważnie zastanawiać, gdy spadek dochodów bieżących osiągnie 30%.</w:t>
      </w:r>
    </w:p>
    <w:p w14:paraId="7D6F8626"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A7A4DA6"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Radna J. Pągowska zauważyła, że warto byłoby wystąpić do właściciela terenu na którym znajduje się parko wodny OCTOPUS, o zwolnienie z dzierżawy lub zmniejszenie kwoty w związku z COVID. </w:t>
      </w:r>
    </w:p>
    <w:p w14:paraId="0101BE3D"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3AEBD0F9"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Ustalono, że na kolejne posiedzenie komisji zaproszeni zostaną: wójt M. Buliński oraz pani A. Szczęsna.   </w:t>
      </w:r>
    </w:p>
    <w:p w14:paraId="03BCBDBF" w14:textId="77777777" w:rsidR="00DF4683" w:rsidRPr="00363621" w:rsidRDefault="00DF4683" w:rsidP="00DF4683">
      <w:pPr>
        <w:suppressAutoHyphens/>
        <w:autoSpaceDN w:val="0"/>
        <w:spacing w:line="276" w:lineRule="auto"/>
        <w:jc w:val="both"/>
        <w:textAlignment w:val="baseline"/>
        <w:rPr>
          <w:rFonts w:ascii="Tahoma" w:hAnsi="Tahoma" w:cs="Tahoma"/>
          <w:kern w:val="3"/>
          <w:sz w:val="22"/>
          <w:szCs w:val="22"/>
          <w:lang w:eastAsia="zh-CN" w:bidi="hi-IN"/>
        </w:rPr>
      </w:pPr>
    </w:p>
    <w:p w14:paraId="679FC1BA" w14:textId="3A376784" w:rsidR="00DF4683" w:rsidRPr="00363621" w:rsidRDefault="00DF4683" w:rsidP="00DF4683">
      <w:pPr>
        <w:spacing w:line="276" w:lineRule="auto"/>
        <w:jc w:val="both"/>
        <w:rPr>
          <w:rFonts w:ascii="Tahoma" w:hAnsi="Tahoma" w:cs="Tahoma"/>
          <w:sz w:val="22"/>
          <w:szCs w:val="22"/>
        </w:rPr>
      </w:pPr>
      <w:r w:rsidRPr="00363621">
        <w:rPr>
          <w:rFonts w:ascii="Tahoma" w:hAnsi="Tahoma" w:cs="Tahoma"/>
          <w:sz w:val="22"/>
          <w:szCs w:val="22"/>
        </w:rPr>
        <w:t>Ad. 7 – 8.</w:t>
      </w:r>
    </w:p>
    <w:p w14:paraId="76D7F1AE" w14:textId="77777777" w:rsidR="00DF4683" w:rsidRPr="00363621" w:rsidRDefault="00DF4683" w:rsidP="00DF4683">
      <w:pPr>
        <w:suppressAutoHyphens/>
        <w:autoSpaceDN w:val="0"/>
        <w:spacing w:before="100"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Na tym posiedzenie Komisji zakończono.</w:t>
      </w:r>
    </w:p>
    <w:p w14:paraId="4B25FADC" w14:textId="77777777" w:rsidR="001C6348" w:rsidRDefault="00DF4683" w:rsidP="00DF4683">
      <w:pPr>
        <w:suppressAutoHyphens/>
        <w:autoSpaceDN w:val="0"/>
        <w:spacing w:before="100" w:beforeAutospacing="1"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Protokółowała</w:t>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t>Przewodniczący KR</w:t>
      </w:r>
    </w:p>
    <w:p w14:paraId="500CFAAA" w14:textId="634A9A5C" w:rsidR="00DF4683" w:rsidRPr="00363621" w:rsidRDefault="00DF4683" w:rsidP="00DF4683">
      <w:pPr>
        <w:suppressAutoHyphens/>
        <w:autoSpaceDN w:val="0"/>
        <w:spacing w:before="100" w:beforeAutospacing="1" w:line="276" w:lineRule="auto"/>
        <w:jc w:val="both"/>
        <w:textAlignment w:val="baseline"/>
        <w:rPr>
          <w:rFonts w:ascii="Tahoma" w:hAnsi="Tahoma" w:cs="Tahoma"/>
          <w:kern w:val="3"/>
          <w:sz w:val="22"/>
          <w:szCs w:val="22"/>
          <w:lang w:eastAsia="zh-CN" w:bidi="hi-IN"/>
        </w:rPr>
      </w:pPr>
      <w:r w:rsidRPr="00363621">
        <w:rPr>
          <w:rFonts w:ascii="Tahoma" w:hAnsi="Tahoma" w:cs="Tahoma"/>
          <w:kern w:val="3"/>
          <w:sz w:val="22"/>
          <w:szCs w:val="22"/>
          <w:lang w:eastAsia="zh-CN" w:bidi="hi-IN"/>
        </w:rPr>
        <w:t xml:space="preserve">Justyna Krawczyk </w:t>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Pr="00363621">
        <w:rPr>
          <w:rFonts w:ascii="Tahoma" w:hAnsi="Tahoma" w:cs="Tahoma"/>
          <w:kern w:val="3"/>
          <w:sz w:val="22"/>
          <w:szCs w:val="22"/>
          <w:lang w:eastAsia="zh-CN" w:bidi="hi-IN"/>
        </w:rPr>
        <w:tab/>
      </w:r>
      <w:r w:rsidR="001C6348">
        <w:rPr>
          <w:rFonts w:ascii="Tahoma" w:hAnsi="Tahoma" w:cs="Tahoma"/>
          <w:kern w:val="3"/>
          <w:sz w:val="22"/>
          <w:szCs w:val="22"/>
          <w:lang w:eastAsia="zh-CN" w:bidi="hi-IN"/>
        </w:rPr>
        <w:t xml:space="preserve">  </w:t>
      </w:r>
      <w:r w:rsidRPr="00363621">
        <w:rPr>
          <w:rFonts w:ascii="Tahoma" w:hAnsi="Tahoma" w:cs="Tahoma"/>
          <w:kern w:val="3"/>
          <w:sz w:val="22"/>
          <w:szCs w:val="22"/>
          <w:lang w:eastAsia="zh-CN" w:bidi="hi-IN"/>
        </w:rPr>
        <w:t xml:space="preserve">Maciej Jankowiak </w:t>
      </w:r>
    </w:p>
    <w:p w14:paraId="1CF93D34" w14:textId="77777777" w:rsidR="00DF4683" w:rsidRPr="00363621" w:rsidRDefault="00DF4683" w:rsidP="00DF4683">
      <w:pPr>
        <w:suppressAutoHyphens/>
        <w:autoSpaceDN w:val="0"/>
        <w:spacing w:line="276" w:lineRule="auto"/>
        <w:textAlignment w:val="baseline"/>
        <w:rPr>
          <w:rFonts w:ascii="Tahoma" w:eastAsia="SimSun" w:hAnsi="Tahoma" w:cs="Tahoma"/>
          <w:kern w:val="3"/>
          <w:sz w:val="22"/>
          <w:szCs w:val="22"/>
          <w:lang w:eastAsia="zh-CN" w:bidi="hi-IN"/>
        </w:rPr>
      </w:pPr>
    </w:p>
    <w:p w14:paraId="64FD2765" w14:textId="77777777" w:rsidR="00A55174" w:rsidRPr="00363621" w:rsidRDefault="00A55174"/>
    <w:sectPr w:rsidR="00A55174" w:rsidRPr="0036362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637676A"/>
    <w:multiLevelType w:val="multilevel"/>
    <w:tmpl w:val="42F07D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4683"/>
    <w:rsid w:val="00134BBA"/>
    <w:rsid w:val="00157346"/>
    <w:rsid w:val="001C6348"/>
    <w:rsid w:val="00363621"/>
    <w:rsid w:val="008D3D0F"/>
    <w:rsid w:val="00A55174"/>
    <w:rsid w:val="00A734C5"/>
    <w:rsid w:val="00B94AC3"/>
    <w:rsid w:val="00D3446A"/>
    <w:rsid w:val="00D80207"/>
    <w:rsid w:val="00DF4683"/>
    <w:rsid w:val="00E77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19B87"/>
  <w15:docId w15:val="{14DC7C06-581F-42E4-AD91-EAC572B2B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F4683"/>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6743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970</Words>
  <Characters>5822</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ADTI</Company>
  <LinksUpToDate>false</LinksUpToDate>
  <CharactersWithSpaces>6779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Justyna Krawczyk</dc:creator>
  <cp:lastModifiedBy>Dorota Majchrzak</cp:lastModifiedBy>
  <cp:revision>4</cp:revision>
  <dcterms:created xsi:type="dcterms:W3CDTF">2020-06-04T05:32:00Z</dcterms:created>
  <dcterms:modified xsi:type="dcterms:W3CDTF">2020-08-26T12:35:00Z</dcterms:modified>
</cp:coreProperties>
</file>