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FD6D3C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FD6D3C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FD6D3C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FD6D3C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606EA563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24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04</w:t>
      </w:r>
      <w:r w:rsidR="00AB339D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5A38E5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94DBD8F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B1974B4" w:rsidR="003B7C2D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1470971D" w:rsidR="00BB79FF" w:rsidRPr="00FD6D3C" w:rsidRDefault="000D6BCA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0D6BCA">
        <w:rPr>
          <w:rFonts w:asciiTheme="minorHAnsi" w:hAnsiTheme="minorHAnsi" w:cstheme="minorHAnsi"/>
          <w:color w:val="464646"/>
          <w:sz w:val="22"/>
          <w:szCs w:val="22"/>
        </w:rPr>
        <w:t>Organizacja półkolonii w okresie wakacji letnich w dniach 28.07-1.08.2025 dla dzieci i młodzieży mieszkających na ternie Gminy Suchy Las</w:t>
      </w:r>
      <w:r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2948995F" w:rsidR="00BB79FF" w:rsidRPr="00FD6D3C" w:rsidRDefault="000D6BCA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Uczniowski Klub Sportowy Gimnazjon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ul. </w:t>
      </w:r>
      <w:r>
        <w:rPr>
          <w:rFonts w:asciiTheme="minorHAnsi" w:hAnsiTheme="minorHAnsi" w:cstheme="minorHAnsi"/>
          <w:color w:val="464646"/>
          <w:sz w:val="22"/>
          <w:szCs w:val="22"/>
        </w:rPr>
        <w:t>Poziomkowa 11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, 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62-002 Suchy Las</w:t>
      </w:r>
    </w:p>
    <w:p w14:paraId="415F965D" w14:textId="77777777" w:rsidR="005B0F4B" w:rsidRPr="00FD6D3C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6BDCCAC0" w:rsidR="00BB79FF" w:rsidRPr="00FD6D3C" w:rsidRDefault="005A38E5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FD6D3C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FD6D3C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6E1F808F" w14:textId="1892FE2B" w:rsidR="00FD6D3C" w:rsidRPr="00D856C3" w:rsidRDefault="00AF0790" w:rsidP="00FD6D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05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FD6D3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D6D3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4993E430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FD6D3C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FD6D3C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FD6D3C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FD6D3C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FD6D3C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27C03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6332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D6BCA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50BB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A38E5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4C2F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0F0F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D6D3C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70</cp:revision>
  <cp:lastPrinted>2025-04-24T06:11:00Z</cp:lastPrinted>
  <dcterms:created xsi:type="dcterms:W3CDTF">2022-12-01T12:24:00Z</dcterms:created>
  <dcterms:modified xsi:type="dcterms:W3CDTF">2025-04-24T06:13:00Z</dcterms:modified>
</cp:coreProperties>
</file>