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3D5C74D6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5A1189" w:rsidRPr="005A1189">
        <w:rPr>
          <w:rFonts w:ascii="Cambria" w:hAnsi="Cambria"/>
          <w:b/>
          <w:bCs/>
          <w:sz w:val="24"/>
          <w:szCs w:val="24"/>
        </w:rPr>
        <w:t>Suchy Las – budowa parku przy ul. Nizinnej</w:t>
      </w:r>
    </w:p>
    <w:p w14:paraId="23C8A6C7" w14:textId="183F921F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DB6B55">
        <w:rPr>
          <w:rFonts w:ascii="Cambria" w:hAnsi="Cambria"/>
          <w:b/>
          <w:bCs/>
          <w:sz w:val="24"/>
          <w:szCs w:val="24"/>
        </w:rPr>
        <w:t>20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2C333B33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2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25983A79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2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10</cp:revision>
  <cp:lastPrinted>2019-02-01T07:41:00Z</cp:lastPrinted>
  <dcterms:created xsi:type="dcterms:W3CDTF">2021-02-11T12:43:00Z</dcterms:created>
  <dcterms:modified xsi:type="dcterms:W3CDTF">2021-09-09T11:55:00Z</dcterms:modified>
</cp:coreProperties>
</file>